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C0" w:rsidRPr="003078A1" w:rsidRDefault="003078A1" w:rsidP="003078A1">
      <w:pPr>
        <w:spacing w:before="0"/>
        <w:jc w:val="center"/>
        <w:rPr>
          <w:b/>
          <w:smallCaps/>
          <w:sz w:val="28"/>
          <w:szCs w:val="28"/>
        </w:rPr>
      </w:pPr>
      <w:bookmarkStart w:id="0" w:name="_GoBack"/>
      <w:r w:rsidRPr="003078A1">
        <w:rPr>
          <w:b/>
          <w:smallCaps/>
          <w:sz w:val="28"/>
          <w:szCs w:val="28"/>
        </w:rPr>
        <w:t>Using Administrative Data in Analyzing Program Outcomes</w:t>
      </w:r>
    </w:p>
    <w:bookmarkEnd w:id="0"/>
    <w:p w:rsidR="003078A1" w:rsidRPr="003078A1" w:rsidRDefault="003078A1" w:rsidP="003078A1">
      <w:pPr>
        <w:spacing w:before="0"/>
        <w:jc w:val="center"/>
        <w:rPr>
          <w:b/>
          <w:sz w:val="28"/>
          <w:szCs w:val="28"/>
        </w:rPr>
      </w:pPr>
      <w:r w:rsidRPr="003078A1">
        <w:rPr>
          <w:b/>
          <w:sz w:val="28"/>
          <w:szCs w:val="28"/>
        </w:rPr>
        <w:t>National Association for Welfare Research and Statistics (NAWRS)</w:t>
      </w:r>
    </w:p>
    <w:p w:rsidR="003078A1" w:rsidRDefault="003078A1" w:rsidP="003078A1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2013 Workshop – Chicago, Illinois</w:t>
      </w:r>
    </w:p>
    <w:p w:rsidR="00A10907" w:rsidRDefault="00A10907" w:rsidP="003078A1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Don Winstead – Don Winstead Consulting, LLC</w:t>
      </w:r>
    </w:p>
    <w:p w:rsidR="00621E69" w:rsidRDefault="00621E69" w:rsidP="003078A1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Email:  </w:t>
      </w:r>
      <w:hyperlink r:id="rId6" w:history="1">
        <w:r w:rsidRPr="00F532A9">
          <w:rPr>
            <w:rStyle w:val="Hyperlink"/>
            <w:sz w:val="28"/>
            <w:szCs w:val="28"/>
          </w:rPr>
          <w:t>don.winstead@winsteadconsulting.com</w:t>
        </w:r>
      </w:hyperlink>
    </w:p>
    <w:p w:rsidR="00621E69" w:rsidRDefault="00621E69" w:rsidP="003078A1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Website:  WinsteadConsulting.com</w:t>
      </w:r>
    </w:p>
    <w:p w:rsidR="00621E69" w:rsidRDefault="00621E69" w:rsidP="003078A1">
      <w:pPr>
        <w:spacing w:before="0"/>
        <w:jc w:val="center"/>
        <w:rPr>
          <w:sz w:val="28"/>
          <w:szCs w:val="28"/>
        </w:rPr>
      </w:pPr>
    </w:p>
    <w:p w:rsidR="00621E69" w:rsidRPr="00621E69" w:rsidRDefault="00621E69" w:rsidP="00621E69">
      <w:pPr>
        <w:spacing w:before="0"/>
        <w:rPr>
          <w:i/>
          <w:sz w:val="28"/>
          <w:szCs w:val="28"/>
        </w:rPr>
      </w:pPr>
      <w:r w:rsidRPr="00621E69">
        <w:rPr>
          <w:i/>
          <w:sz w:val="28"/>
          <w:szCs w:val="28"/>
        </w:rPr>
        <w:t>Electronic copy of this document, the NAWRS Power Point and a “How To” guide to making your own Excel Spinner Reports is available at WinsteadConsulting.com/ documents</w:t>
      </w:r>
    </w:p>
    <w:p w:rsidR="003078A1" w:rsidRPr="00621E69" w:rsidRDefault="003078A1" w:rsidP="00621E69">
      <w:pPr>
        <w:rPr>
          <w:b/>
          <w:sz w:val="28"/>
          <w:szCs w:val="28"/>
        </w:rPr>
      </w:pPr>
      <w:r w:rsidRPr="00621E69">
        <w:rPr>
          <w:b/>
          <w:sz w:val="28"/>
          <w:szCs w:val="28"/>
        </w:rPr>
        <w:t>Links to Examples Used in Workshop and Other Resources</w:t>
      </w:r>
    </w:p>
    <w:p w:rsidR="003078A1" w:rsidRPr="00A10907" w:rsidRDefault="003078A1" w:rsidP="00A61BDB">
      <w:pPr>
        <w:rPr>
          <w:b/>
          <w:sz w:val="28"/>
          <w:szCs w:val="28"/>
        </w:rPr>
      </w:pPr>
      <w:r w:rsidRPr="00A10907">
        <w:rPr>
          <w:b/>
          <w:sz w:val="28"/>
          <w:szCs w:val="28"/>
        </w:rPr>
        <w:t>Examples of Excel “Spinner” Reports</w:t>
      </w:r>
    </w:p>
    <w:p w:rsidR="003078A1" w:rsidRPr="001F1C7B" w:rsidRDefault="003078A1" w:rsidP="00A61BDB">
      <w:pPr>
        <w:rPr>
          <w:b/>
          <w:sz w:val="28"/>
          <w:szCs w:val="28"/>
        </w:rPr>
      </w:pPr>
      <w:r w:rsidRPr="001F1C7B">
        <w:rPr>
          <w:b/>
          <w:sz w:val="28"/>
          <w:szCs w:val="28"/>
        </w:rPr>
        <w:t>Workforce Reports:</w:t>
      </w:r>
    </w:p>
    <w:p w:rsidR="00A61BDB" w:rsidRDefault="00A61BDB" w:rsidP="00ED4AC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Link:  </w:t>
      </w:r>
      <w:hyperlink r:id="rId7" w:history="1">
        <w:r w:rsidRPr="00AC4B5F">
          <w:rPr>
            <w:rStyle w:val="Hyperlink"/>
            <w:sz w:val="28"/>
            <w:szCs w:val="28"/>
          </w:rPr>
          <w:t>http://www.floridajobs.org/workforce-board-resources/program-monitoring-and-reports/state-program-reports/welfare-transition-program-reports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A61BDB" w:rsidRPr="001F1C7B" w:rsidTr="00A61BDB">
        <w:tc>
          <w:tcPr>
            <w:tcW w:w="3618" w:type="dxa"/>
          </w:tcPr>
          <w:p w:rsidR="00A61BDB" w:rsidRPr="001F1C7B" w:rsidRDefault="00A61BDB" w:rsidP="00ED4AC2">
            <w:pPr>
              <w:rPr>
                <w:b/>
                <w:sz w:val="28"/>
                <w:szCs w:val="28"/>
              </w:rPr>
            </w:pPr>
            <w:r w:rsidRPr="001F1C7B">
              <w:rPr>
                <w:b/>
                <w:sz w:val="28"/>
                <w:szCs w:val="28"/>
              </w:rPr>
              <w:t>Suggested Reports</w:t>
            </w:r>
          </w:p>
        </w:tc>
        <w:tc>
          <w:tcPr>
            <w:tcW w:w="5958" w:type="dxa"/>
          </w:tcPr>
          <w:p w:rsidR="00A61BDB" w:rsidRPr="001F1C7B" w:rsidRDefault="00A61BDB" w:rsidP="00ED4AC2">
            <w:pPr>
              <w:rPr>
                <w:b/>
                <w:sz w:val="28"/>
                <w:szCs w:val="28"/>
              </w:rPr>
            </w:pPr>
            <w:r w:rsidRPr="001F1C7B">
              <w:rPr>
                <w:b/>
                <w:sz w:val="28"/>
                <w:szCs w:val="28"/>
              </w:rPr>
              <w:t>Content</w:t>
            </w:r>
          </w:p>
        </w:tc>
      </w:tr>
      <w:tr w:rsidR="00A61BDB" w:rsidTr="00A61BDB">
        <w:tc>
          <w:tcPr>
            <w:tcW w:w="3618" w:type="dxa"/>
          </w:tcPr>
          <w:p w:rsidR="00A61BDB" w:rsidRDefault="00A61BDB" w:rsidP="0030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Weekly Report</w:t>
            </w:r>
          </w:p>
        </w:tc>
        <w:tc>
          <w:tcPr>
            <w:tcW w:w="5958" w:type="dxa"/>
          </w:tcPr>
          <w:p w:rsidR="00A61BDB" w:rsidRDefault="00A61BDB" w:rsidP="0030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weekly report on engagement with activity summaries by Workforce Region.</w:t>
            </w:r>
          </w:p>
        </w:tc>
      </w:tr>
      <w:tr w:rsidR="00A61BDB" w:rsidTr="00A61BDB">
        <w:tc>
          <w:tcPr>
            <w:tcW w:w="3618" w:type="dxa"/>
          </w:tcPr>
          <w:p w:rsidR="00A61BDB" w:rsidRDefault="00A61BDB" w:rsidP="0030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Welfare Transition Participation Rate</w:t>
            </w:r>
          </w:p>
        </w:tc>
        <w:tc>
          <w:tcPr>
            <w:tcW w:w="5958" w:type="dxa"/>
          </w:tcPr>
          <w:p w:rsidR="00A61BDB" w:rsidRDefault="00A61BDB" w:rsidP="0030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annual report of TANF Work Participation Rate by Workforce Region.</w:t>
            </w:r>
          </w:p>
        </w:tc>
      </w:tr>
    </w:tbl>
    <w:p w:rsidR="003078A1" w:rsidRDefault="00A61BDB" w:rsidP="00ED4AC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Link:  </w:t>
      </w:r>
      <w:hyperlink r:id="rId8" w:history="1">
        <w:r w:rsidR="003078A1" w:rsidRPr="00AC4B5F">
          <w:rPr>
            <w:rStyle w:val="Hyperlink"/>
            <w:sz w:val="28"/>
            <w:szCs w:val="28"/>
          </w:rPr>
          <w:t>http://www.floridajobs.org/workforce-board-resources/program-monitoring-and-reports/state-program-reports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A61BDB" w:rsidRPr="001F1C7B" w:rsidTr="00BD4D90">
        <w:tc>
          <w:tcPr>
            <w:tcW w:w="3618" w:type="dxa"/>
          </w:tcPr>
          <w:p w:rsidR="00A61BDB" w:rsidRPr="001F1C7B" w:rsidRDefault="00A61BDB" w:rsidP="00A61BDB">
            <w:pPr>
              <w:rPr>
                <w:b/>
                <w:sz w:val="28"/>
                <w:szCs w:val="28"/>
              </w:rPr>
            </w:pPr>
            <w:r w:rsidRPr="001F1C7B">
              <w:rPr>
                <w:b/>
                <w:sz w:val="28"/>
                <w:szCs w:val="28"/>
              </w:rPr>
              <w:t>Suggested Report</w:t>
            </w:r>
          </w:p>
        </w:tc>
        <w:tc>
          <w:tcPr>
            <w:tcW w:w="5958" w:type="dxa"/>
          </w:tcPr>
          <w:p w:rsidR="00A61BDB" w:rsidRPr="001F1C7B" w:rsidRDefault="00A61BDB" w:rsidP="00BD4D90">
            <w:pPr>
              <w:rPr>
                <w:b/>
                <w:sz w:val="28"/>
                <w:szCs w:val="28"/>
              </w:rPr>
            </w:pPr>
            <w:r w:rsidRPr="001F1C7B">
              <w:rPr>
                <w:b/>
                <w:sz w:val="28"/>
                <w:szCs w:val="28"/>
              </w:rPr>
              <w:t>Content</w:t>
            </w:r>
          </w:p>
        </w:tc>
      </w:tr>
      <w:tr w:rsidR="00A61BDB" w:rsidTr="00BD4D90">
        <w:tc>
          <w:tcPr>
            <w:tcW w:w="3618" w:type="dxa"/>
          </w:tcPr>
          <w:p w:rsidR="00A61BDB" w:rsidRDefault="00A61BDB" w:rsidP="00BD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Monthly Management Report</w:t>
            </w:r>
          </w:p>
        </w:tc>
        <w:tc>
          <w:tcPr>
            <w:tcW w:w="5958" w:type="dxa"/>
          </w:tcPr>
          <w:p w:rsidR="00A61BDB" w:rsidRDefault="00A61BDB" w:rsidP="00BD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monthly compilation of 34 WIA, TANF and Wagner-</w:t>
            </w:r>
            <w:proofErr w:type="spellStart"/>
            <w:r>
              <w:rPr>
                <w:sz w:val="28"/>
                <w:szCs w:val="28"/>
              </w:rPr>
              <w:t>Peyser</w:t>
            </w:r>
            <w:proofErr w:type="spellEnd"/>
            <w:r>
              <w:rPr>
                <w:sz w:val="28"/>
                <w:szCs w:val="28"/>
              </w:rPr>
              <w:t xml:space="preserve"> performance measures by Workforce Region</w:t>
            </w:r>
          </w:p>
        </w:tc>
      </w:tr>
    </w:tbl>
    <w:p w:rsidR="003078A1" w:rsidRPr="00ED4AC2" w:rsidRDefault="00A61BDB" w:rsidP="003078A1">
      <w:pPr>
        <w:rPr>
          <w:b/>
          <w:sz w:val="28"/>
          <w:szCs w:val="28"/>
        </w:rPr>
      </w:pPr>
      <w:r w:rsidRPr="00ED4AC2">
        <w:rPr>
          <w:b/>
          <w:sz w:val="28"/>
          <w:szCs w:val="28"/>
        </w:rPr>
        <w:t xml:space="preserve">Economic Self-Sufficiency </w:t>
      </w:r>
      <w:r w:rsidR="003078A1" w:rsidRPr="00ED4AC2">
        <w:rPr>
          <w:b/>
          <w:sz w:val="28"/>
          <w:szCs w:val="28"/>
        </w:rPr>
        <w:t>Trend Reports</w:t>
      </w:r>
    </w:p>
    <w:p w:rsidR="003078A1" w:rsidRDefault="00A61BDB" w:rsidP="003078A1">
      <w:pPr>
        <w:rPr>
          <w:sz w:val="28"/>
          <w:szCs w:val="28"/>
        </w:rPr>
      </w:pPr>
      <w:r>
        <w:rPr>
          <w:sz w:val="28"/>
          <w:szCs w:val="28"/>
        </w:rPr>
        <w:t xml:space="preserve">Link:  </w:t>
      </w:r>
      <w:hyperlink r:id="rId9" w:history="1">
        <w:r w:rsidR="003078A1" w:rsidRPr="00AC4B5F">
          <w:rPr>
            <w:rStyle w:val="Hyperlink"/>
            <w:sz w:val="28"/>
            <w:szCs w:val="28"/>
          </w:rPr>
          <w:t>http://www.dcf.state.fl.us/programs/access/StandardDataReports.asp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A61BDB" w:rsidTr="00BD4D90">
        <w:tc>
          <w:tcPr>
            <w:tcW w:w="3618" w:type="dxa"/>
          </w:tcPr>
          <w:p w:rsidR="00A61BDB" w:rsidRDefault="00A61BDB" w:rsidP="00BD4D90">
            <w:pPr>
              <w:rPr>
                <w:sz w:val="28"/>
                <w:szCs w:val="28"/>
              </w:rPr>
            </w:pPr>
            <w:r w:rsidRPr="00A61BDB">
              <w:rPr>
                <w:sz w:val="28"/>
                <w:szCs w:val="28"/>
              </w:rPr>
              <w:t>Suggested Reports</w:t>
            </w:r>
          </w:p>
        </w:tc>
        <w:tc>
          <w:tcPr>
            <w:tcW w:w="5958" w:type="dxa"/>
          </w:tcPr>
          <w:p w:rsidR="00A61BDB" w:rsidRDefault="00A61BDB" w:rsidP="00BD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</w:t>
            </w:r>
          </w:p>
        </w:tc>
      </w:tr>
      <w:tr w:rsidR="00A61BDB" w:rsidTr="00BD4D90">
        <w:tc>
          <w:tcPr>
            <w:tcW w:w="3618" w:type="dxa"/>
          </w:tcPr>
          <w:p w:rsidR="00A61BDB" w:rsidRDefault="00E63223" w:rsidP="00BD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Caseload</w:t>
            </w:r>
          </w:p>
        </w:tc>
        <w:tc>
          <w:tcPr>
            <w:tcW w:w="5958" w:type="dxa"/>
          </w:tcPr>
          <w:p w:rsidR="00A61BDB" w:rsidRDefault="00A61BDB" w:rsidP="00E6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E63223">
              <w:rPr>
                <w:sz w:val="28"/>
                <w:szCs w:val="28"/>
              </w:rPr>
              <w:t>monthly report of caseload and benefit issuance trends with data available from January 1993.</w:t>
            </w:r>
          </w:p>
        </w:tc>
      </w:tr>
      <w:tr w:rsidR="00A61BDB" w:rsidTr="00BD4D90">
        <w:tc>
          <w:tcPr>
            <w:tcW w:w="3618" w:type="dxa"/>
          </w:tcPr>
          <w:p w:rsidR="00A61BDB" w:rsidRDefault="00E63223" w:rsidP="00BD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Flash Points</w:t>
            </w:r>
          </w:p>
        </w:tc>
        <w:tc>
          <w:tcPr>
            <w:tcW w:w="5958" w:type="dxa"/>
          </w:tcPr>
          <w:p w:rsidR="00A61BDB" w:rsidRDefault="00E63223" w:rsidP="00BD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report of TANF caseload trends and characteristics with data available from July 2000.</w:t>
            </w:r>
          </w:p>
        </w:tc>
      </w:tr>
    </w:tbl>
    <w:p w:rsidR="00A61BDB" w:rsidRDefault="00E63223" w:rsidP="003078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Child Welfare Performance Reports</w:t>
      </w:r>
    </w:p>
    <w:p w:rsidR="00E63223" w:rsidRDefault="00E63223" w:rsidP="003078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Link:  </w:t>
      </w:r>
      <w:hyperlink r:id="rId10" w:history="1">
        <w:r w:rsidRPr="00AC4B5F">
          <w:rPr>
            <w:rStyle w:val="Hyperlink"/>
            <w:b/>
            <w:sz w:val="28"/>
            <w:szCs w:val="28"/>
          </w:rPr>
          <w:t>http://centerforchildwelfare.fmhi.usf.edu/DataReports/TrendReports.shtml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E63223" w:rsidRPr="001F1C7B" w:rsidTr="00ED4AC2">
        <w:trPr>
          <w:cantSplit/>
        </w:trPr>
        <w:tc>
          <w:tcPr>
            <w:tcW w:w="3618" w:type="dxa"/>
          </w:tcPr>
          <w:p w:rsidR="00E63223" w:rsidRPr="001F1C7B" w:rsidRDefault="00E63223" w:rsidP="00ED4AC2">
            <w:pPr>
              <w:keepNext/>
              <w:rPr>
                <w:b/>
                <w:sz w:val="28"/>
                <w:szCs w:val="28"/>
              </w:rPr>
            </w:pPr>
            <w:r w:rsidRPr="001F1C7B">
              <w:rPr>
                <w:b/>
                <w:sz w:val="28"/>
                <w:szCs w:val="28"/>
              </w:rPr>
              <w:t>Suggested Reports</w:t>
            </w:r>
          </w:p>
        </w:tc>
        <w:tc>
          <w:tcPr>
            <w:tcW w:w="5958" w:type="dxa"/>
          </w:tcPr>
          <w:p w:rsidR="00E63223" w:rsidRPr="001F1C7B" w:rsidRDefault="00E63223" w:rsidP="00ED4AC2">
            <w:pPr>
              <w:keepNext/>
              <w:rPr>
                <w:b/>
                <w:sz w:val="28"/>
                <w:szCs w:val="28"/>
              </w:rPr>
            </w:pPr>
            <w:r w:rsidRPr="001F1C7B">
              <w:rPr>
                <w:b/>
                <w:sz w:val="28"/>
                <w:szCs w:val="28"/>
              </w:rPr>
              <w:t>Content</w:t>
            </w:r>
          </w:p>
        </w:tc>
      </w:tr>
      <w:tr w:rsidR="00E63223" w:rsidTr="00ED4AC2">
        <w:trPr>
          <w:cantSplit/>
        </w:trPr>
        <w:tc>
          <w:tcPr>
            <w:tcW w:w="3618" w:type="dxa"/>
          </w:tcPr>
          <w:p w:rsidR="00E63223" w:rsidRDefault="00E63223" w:rsidP="00BD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Welfare Performance Measures Trend Report</w:t>
            </w:r>
          </w:p>
        </w:tc>
        <w:tc>
          <w:tcPr>
            <w:tcW w:w="5958" w:type="dxa"/>
          </w:tcPr>
          <w:p w:rsidR="00E63223" w:rsidRDefault="00E63223" w:rsidP="00BD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B352CF">
              <w:rPr>
                <w:sz w:val="28"/>
                <w:szCs w:val="28"/>
              </w:rPr>
              <w:t>quarterly report with Child Welfare CFSR measures by Region, Circuit, County and CBC Area</w:t>
            </w:r>
          </w:p>
        </w:tc>
      </w:tr>
      <w:tr w:rsidR="00E63223" w:rsidTr="00ED4AC2">
        <w:trPr>
          <w:cantSplit/>
        </w:trPr>
        <w:tc>
          <w:tcPr>
            <w:tcW w:w="3618" w:type="dxa"/>
          </w:tcPr>
          <w:p w:rsidR="00E63223" w:rsidRDefault="00B352CF" w:rsidP="00BD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Welfare Services Trend Report</w:t>
            </w:r>
          </w:p>
        </w:tc>
        <w:tc>
          <w:tcPr>
            <w:tcW w:w="5958" w:type="dxa"/>
          </w:tcPr>
          <w:p w:rsidR="00E63223" w:rsidRDefault="00B352CF" w:rsidP="00BD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monthly report of child welfare caseload data on removals, adoptions, out-of-home care data </w:t>
            </w:r>
            <w:r w:rsidRPr="00B352CF">
              <w:rPr>
                <w:sz w:val="28"/>
                <w:szCs w:val="28"/>
              </w:rPr>
              <w:t>by Region, Circuit, County and CBC Area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B352CF" w:rsidTr="00ED4AC2">
        <w:trPr>
          <w:cantSplit/>
        </w:trPr>
        <w:tc>
          <w:tcPr>
            <w:tcW w:w="3618" w:type="dxa"/>
          </w:tcPr>
          <w:p w:rsidR="00B352CF" w:rsidRDefault="00B352CF" w:rsidP="00BD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Protective Investigation Trend Report</w:t>
            </w:r>
          </w:p>
        </w:tc>
        <w:tc>
          <w:tcPr>
            <w:tcW w:w="5958" w:type="dxa"/>
          </w:tcPr>
          <w:p w:rsidR="00B352CF" w:rsidRDefault="00B352CF" w:rsidP="00BD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monthly report of information on child protective investigations </w:t>
            </w:r>
            <w:r w:rsidRPr="00B352CF">
              <w:rPr>
                <w:sz w:val="28"/>
                <w:szCs w:val="28"/>
              </w:rPr>
              <w:t>by Region, Circuit, County and CBC Area.</w:t>
            </w:r>
          </w:p>
        </w:tc>
      </w:tr>
    </w:tbl>
    <w:p w:rsidR="00E63223" w:rsidRDefault="00B352CF" w:rsidP="003078A1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to Learn to Make Spinner Charts</w:t>
      </w:r>
    </w:p>
    <w:p w:rsidR="00B352CF" w:rsidRPr="001F1C7B" w:rsidRDefault="00B352CF" w:rsidP="001F1C7B">
      <w:pPr>
        <w:spacing w:after="120"/>
        <w:rPr>
          <w:sz w:val="28"/>
          <w:szCs w:val="28"/>
        </w:rPr>
      </w:pPr>
      <w:r w:rsidRPr="001F1C7B">
        <w:rPr>
          <w:sz w:val="28"/>
          <w:szCs w:val="28"/>
        </w:rPr>
        <w:t>Link:  http://www.winsteadconsulting.com/documents.html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B352CF" w:rsidRPr="001F1C7B" w:rsidTr="00BD4D90">
        <w:tc>
          <w:tcPr>
            <w:tcW w:w="3618" w:type="dxa"/>
          </w:tcPr>
          <w:p w:rsidR="00B352CF" w:rsidRPr="001F1C7B" w:rsidRDefault="00B352CF" w:rsidP="00B352CF">
            <w:pPr>
              <w:rPr>
                <w:b/>
                <w:sz w:val="28"/>
                <w:szCs w:val="28"/>
              </w:rPr>
            </w:pPr>
            <w:r w:rsidRPr="001F1C7B">
              <w:rPr>
                <w:b/>
                <w:sz w:val="28"/>
                <w:szCs w:val="28"/>
              </w:rPr>
              <w:t>Suggested File</w:t>
            </w:r>
          </w:p>
        </w:tc>
        <w:tc>
          <w:tcPr>
            <w:tcW w:w="5958" w:type="dxa"/>
          </w:tcPr>
          <w:p w:rsidR="00B352CF" w:rsidRPr="001F1C7B" w:rsidRDefault="00B352CF" w:rsidP="00BD4D90">
            <w:pPr>
              <w:rPr>
                <w:b/>
                <w:sz w:val="28"/>
                <w:szCs w:val="28"/>
              </w:rPr>
            </w:pPr>
            <w:r w:rsidRPr="001F1C7B">
              <w:rPr>
                <w:b/>
                <w:sz w:val="28"/>
                <w:szCs w:val="28"/>
              </w:rPr>
              <w:t>Content</w:t>
            </w:r>
          </w:p>
        </w:tc>
      </w:tr>
      <w:tr w:rsidR="00B352CF" w:rsidTr="00BD4D90">
        <w:tc>
          <w:tcPr>
            <w:tcW w:w="3618" w:type="dxa"/>
          </w:tcPr>
          <w:p w:rsidR="00B352CF" w:rsidRDefault="00B352CF" w:rsidP="00BD4D90">
            <w:pPr>
              <w:rPr>
                <w:sz w:val="28"/>
                <w:szCs w:val="28"/>
              </w:rPr>
            </w:pPr>
            <w:r w:rsidRPr="00B352CF">
              <w:rPr>
                <w:sz w:val="28"/>
                <w:szCs w:val="28"/>
              </w:rPr>
              <w:t>NAWRS 2013 Spinner How To Example</w:t>
            </w:r>
          </w:p>
        </w:tc>
        <w:tc>
          <w:tcPr>
            <w:tcW w:w="5958" w:type="dxa"/>
          </w:tcPr>
          <w:p w:rsidR="00B352CF" w:rsidRDefault="00B352CF" w:rsidP="00BD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excel spreadsheet with a simple spinner example and “how to:” instructions.</w:t>
            </w:r>
          </w:p>
        </w:tc>
      </w:tr>
    </w:tbl>
    <w:p w:rsidR="00A10907" w:rsidRPr="00A61BDB" w:rsidRDefault="00A10907" w:rsidP="00A10907">
      <w:pPr>
        <w:rPr>
          <w:b/>
          <w:sz w:val="28"/>
          <w:szCs w:val="28"/>
        </w:rPr>
      </w:pPr>
      <w:r w:rsidRPr="00A61BDB">
        <w:rPr>
          <w:b/>
          <w:sz w:val="28"/>
          <w:szCs w:val="28"/>
        </w:rPr>
        <w:t>Example of Scorecard</w:t>
      </w:r>
    </w:p>
    <w:p w:rsidR="00A10907" w:rsidRDefault="00621E69" w:rsidP="00A10907">
      <w:pPr>
        <w:rPr>
          <w:sz w:val="28"/>
          <w:szCs w:val="28"/>
        </w:rPr>
      </w:pPr>
      <w:hyperlink r:id="rId11" w:history="1">
        <w:r w:rsidR="00A10907" w:rsidRPr="00AC4B5F">
          <w:rPr>
            <w:rStyle w:val="Hyperlink"/>
            <w:sz w:val="28"/>
            <w:szCs w:val="28"/>
          </w:rPr>
          <w:t>http://www.myflfamilies.com/about-us/planning-performance-measures/cbc-scorecard</w:t>
        </w:r>
      </w:hyperlink>
    </w:p>
    <w:p w:rsidR="00A10907" w:rsidRDefault="00A10907" w:rsidP="00A10907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suggested resources and links</w:t>
      </w:r>
    </w:p>
    <w:p w:rsidR="00A10907" w:rsidRPr="00A10907" w:rsidRDefault="00A10907" w:rsidP="00A10907">
      <w:pPr>
        <w:rPr>
          <w:sz w:val="28"/>
          <w:szCs w:val="28"/>
        </w:rPr>
      </w:pPr>
      <w:r w:rsidRPr="00A10907">
        <w:rPr>
          <w:sz w:val="28"/>
          <w:szCs w:val="28"/>
        </w:rPr>
        <w:t xml:space="preserve">Anyone interested in displaying statistical data should watch videos by Hans </w:t>
      </w:r>
      <w:proofErr w:type="spellStart"/>
      <w:r w:rsidRPr="00A10907">
        <w:rPr>
          <w:sz w:val="28"/>
          <w:szCs w:val="28"/>
        </w:rPr>
        <w:t>Rosling</w:t>
      </w:r>
      <w:proofErr w:type="spellEnd"/>
      <w:r w:rsidRPr="00A1090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A10907">
        <w:rPr>
          <w:sz w:val="28"/>
          <w:szCs w:val="28"/>
        </w:rPr>
        <w:t>His website is gapminder.org</w:t>
      </w:r>
    </w:p>
    <w:p w:rsidR="00A10907" w:rsidRPr="00A10907" w:rsidRDefault="00A10907" w:rsidP="00A10907">
      <w:pPr>
        <w:rPr>
          <w:sz w:val="28"/>
          <w:szCs w:val="28"/>
        </w:rPr>
      </w:pPr>
      <w:r w:rsidRPr="00A10907">
        <w:rPr>
          <w:sz w:val="28"/>
          <w:szCs w:val="28"/>
        </w:rPr>
        <w:t>Videos are available there and also on Ted.com</w:t>
      </w:r>
    </w:p>
    <w:p w:rsidR="00A10907" w:rsidRPr="00A10907" w:rsidRDefault="00A10907" w:rsidP="00A10907">
      <w:pPr>
        <w:rPr>
          <w:sz w:val="28"/>
          <w:szCs w:val="28"/>
        </w:rPr>
      </w:pPr>
      <w:r w:rsidRPr="00A10907">
        <w:rPr>
          <w:sz w:val="28"/>
          <w:szCs w:val="28"/>
        </w:rPr>
        <w:t>Start with the 2005 video,</w:t>
      </w:r>
      <w:r>
        <w:rPr>
          <w:sz w:val="28"/>
          <w:szCs w:val="28"/>
        </w:rPr>
        <w:t xml:space="preserve"> “</w:t>
      </w:r>
      <w:r w:rsidRPr="00A10907">
        <w:rPr>
          <w:b/>
          <w:i/>
          <w:sz w:val="28"/>
          <w:szCs w:val="28"/>
        </w:rPr>
        <w:t>The best stats you've ever seen</w:t>
      </w:r>
      <w:r>
        <w:rPr>
          <w:sz w:val="28"/>
          <w:szCs w:val="28"/>
        </w:rPr>
        <w:t>”</w:t>
      </w:r>
      <w:r w:rsidRPr="00A10907">
        <w:rPr>
          <w:sz w:val="28"/>
          <w:szCs w:val="28"/>
        </w:rPr>
        <w:t xml:space="preserve"> and the 2006 video, </w:t>
      </w:r>
      <w:r>
        <w:rPr>
          <w:sz w:val="28"/>
          <w:szCs w:val="28"/>
        </w:rPr>
        <w:t>“</w:t>
      </w:r>
      <w:r w:rsidRPr="00A10907">
        <w:rPr>
          <w:b/>
          <w:i/>
          <w:sz w:val="28"/>
          <w:szCs w:val="28"/>
        </w:rPr>
        <w:t>New insights on poverty</w:t>
      </w:r>
      <w:r>
        <w:rPr>
          <w:sz w:val="28"/>
          <w:szCs w:val="28"/>
        </w:rPr>
        <w:t>”</w:t>
      </w:r>
      <w:r w:rsidRPr="00A10907">
        <w:rPr>
          <w:sz w:val="28"/>
          <w:szCs w:val="28"/>
        </w:rPr>
        <w:t>.</w:t>
      </w:r>
    </w:p>
    <w:p w:rsidR="00ED4AC2" w:rsidRPr="00ED4AC2" w:rsidRDefault="00ED4AC2" w:rsidP="003078A1">
      <w:pPr>
        <w:rPr>
          <w:b/>
          <w:sz w:val="28"/>
          <w:szCs w:val="28"/>
        </w:rPr>
      </w:pPr>
      <w:r w:rsidRPr="00ED4AC2">
        <w:rPr>
          <w:b/>
          <w:sz w:val="28"/>
          <w:szCs w:val="28"/>
        </w:rPr>
        <w:t>Make your own Motion Charts</w:t>
      </w:r>
    </w:p>
    <w:p w:rsidR="00A61BDB" w:rsidRPr="003078A1" w:rsidRDefault="00ED4AC2" w:rsidP="003078A1">
      <w:pPr>
        <w:rPr>
          <w:sz w:val="28"/>
          <w:szCs w:val="28"/>
        </w:rPr>
      </w:pPr>
      <w:r>
        <w:rPr>
          <w:sz w:val="28"/>
          <w:szCs w:val="28"/>
        </w:rPr>
        <w:t xml:space="preserve">You can make “Motion Charts” in Google Docs.  Select “Create Spreadsheet.”  Put geographic entity in first column, date in second column and numeric data in third and fourth columns.  </w:t>
      </w:r>
      <w:proofErr w:type="gramStart"/>
      <w:r>
        <w:rPr>
          <w:sz w:val="28"/>
          <w:szCs w:val="28"/>
        </w:rPr>
        <w:t>Select “Insert Chart/ Motion Chart”.</w:t>
      </w:r>
      <w:proofErr w:type="gramEnd"/>
    </w:p>
    <w:sectPr w:rsidR="00A61BDB" w:rsidRPr="00307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23BB"/>
    <w:multiLevelType w:val="hybridMultilevel"/>
    <w:tmpl w:val="65CA9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A1"/>
    <w:rsid w:val="001F1C7B"/>
    <w:rsid w:val="003078A1"/>
    <w:rsid w:val="00621E69"/>
    <w:rsid w:val="00A10907"/>
    <w:rsid w:val="00A61BDB"/>
    <w:rsid w:val="00B352CF"/>
    <w:rsid w:val="00E63223"/>
    <w:rsid w:val="00ED4AC2"/>
    <w:rsid w:val="00F8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78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BD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61BD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78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BD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61BD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idajobs.org/workforce-board-resources/program-monitoring-and-reports/state-program-report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loridajobs.org/workforce-board-resources/program-monitoring-and-reports/state-program-reports/welfare-transition-program-repor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.winstead@winsteadconsulting.com" TargetMode="External"/><Relationship Id="rId11" Type="http://schemas.openxmlformats.org/officeDocument/2006/relationships/hyperlink" Target="http://www.myflfamilies.com/about-us/planning-performance-measures/cbc-scoreca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enterforchildwelfare.fmhi.usf.edu/DataReports/TrendReports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cf.state.fl.us/programs/access/StandardDataReport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4</cp:revision>
  <cp:lastPrinted>2013-08-08T20:46:00Z</cp:lastPrinted>
  <dcterms:created xsi:type="dcterms:W3CDTF">2013-08-08T19:29:00Z</dcterms:created>
  <dcterms:modified xsi:type="dcterms:W3CDTF">2013-08-08T20:51:00Z</dcterms:modified>
</cp:coreProperties>
</file>